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5A0078" w14:textId="0E0CDA4C" w:rsidR="00681F8B" w:rsidRPr="001A668D" w:rsidRDefault="00681F8B" w:rsidP="00FA2CDD">
      <w:pPr>
        <w:jc w:val="center"/>
        <w:rPr>
          <w:rFonts w:cs="Calibri"/>
          <w:b/>
          <w:bCs/>
          <w:sz w:val="24"/>
          <w:szCs w:val="24"/>
          <w:lang w:val="it-IT" w:eastAsia="it-IT"/>
        </w:rPr>
      </w:pPr>
      <w:r w:rsidRPr="001A668D">
        <w:rPr>
          <w:b/>
          <w:bCs/>
          <w:sz w:val="24"/>
          <w:szCs w:val="24"/>
          <w:lang w:val="it-IT"/>
        </w:rPr>
        <w:t xml:space="preserve">Schema </w:t>
      </w:r>
      <w:r w:rsidRPr="001A668D">
        <w:rPr>
          <w:rFonts w:cs="Calibri"/>
          <w:b/>
          <w:bCs/>
          <w:sz w:val="24"/>
          <w:szCs w:val="24"/>
          <w:lang w:val="it-IT" w:eastAsia="it-IT"/>
        </w:rPr>
        <w:t>di distribuzione delle risorse relative alla dotazione di assegni di tipo A, di tipo B e delle borse di Dottorato.</w:t>
      </w:r>
    </w:p>
    <w:p w14:paraId="1E1F3C5A" w14:textId="4A099601" w:rsidR="00681F8B" w:rsidRPr="001A668D" w:rsidRDefault="00681F8B" w:rsidP="00EB79B9">
      <w:pPr>
        <w:jc w:val="both"/>
        <w:rPr>
          <w:rFonts w:cs="Calibri"/>
          <w:sz w:val="24"/>
          <w:szCs w:val="24"/>
          <w:lang w:val="it-IT" w:eastAsia="it-IT"/>
        </w:rPr>
      </w:pPr>
      <w:r w:rsidRPr="001A668D">
        <w:rPr>
          <w:rFonts w:cs="Calibri"/>
          <w:sz w:val="24"/>
          <w:szCs w:val="24"/>
          <w:lang w:val="it-IT" w:eastAsia="it-IT"/>
        </w:rPr>
        <w:t>Lo schema si propone di distribuire, su base annua e ad ogni membro docente del Dipartimento di Fisica</w:t>
      </w:r>
      <w:r w:rsidR="00745E1A">
        <w:rPr>
          <w:rFonts w:cs="Calibri"/>
          <w:sz w:val="24"/>
          <w:szCs w:val="24"/>
          <w:lang w:val="it-IT" w:eastAsia="it-IT"/>
        </w:rPr>
        <w:t xml:space="preserve"> (RTDA, RTDB, RTI, PA</w:t>
      </w:r>
      <w:r w:rsidR="00046C41">
        <w:rPr>
          <w:rFonts w:cs="Calibri"/>
          <w:sz w:val="24"/>
          <w:szCs w:val="24"/>
          <w:lang w:val="it-IT" w:eastAsia="it-IT"/>
        </w:rPr>
        <w:t>,</w:t>
      </w:r>
      <w:r w:rsidR="00745E1A">
        <w:rPr>
          <w:rFonts w:cs="Calibri"/>
          <w:sz w:val="24"/>
          <w:szCs w:val="24"/>
          <w:lang w:val="it-IT" w:eastAsia="it-IT"/>
        </w:rPr>
        <w:t xml:space="preserve"> PO)</w:t>
      </w:r>
      <w:r w:rsidRPr="001A668D">
        <w:rPr>
          <w:rFonts w:cs="Calibri"/>
          <w:sz w:val="24"/>
          <w:szCs w:val="24"/>
          <w:lang w:val="it-IT" w:eastAsia="it-IT"/>
        </w:rPr>
        <w:t>,</w:t>
      </w:r>
      <w:r w:rsidR="00DA1C6E">
        <w:rPr>
          <w:rFonts w:cs="Calibri"/>
          <w:sz w:val="24"/>
          <w:szCs w:val="24"/>
          <w:lang w:val="it-IT" w:eastAsia="it-IT"/>
        </w:rPr>
        <w:t xml:space="preserve"> un budget complessivo consistente nella</w:t>
      </w:r>
      <w:r w:rsidRPr="001A668D">
        <w:rPr>
          <w:rFonts w:cs="Calibri"/>
          <w:sz w:val="24"/>
          <w:szCs w:val="24"/>
          <w:lang w:val="it-IT" w:eastAsia="it-IT"/>
        </w:rPr>
        <w:t xml:space="preserve"> quota </w:t>
      </w:r>
      <w:r w:rsidR="00DA1C6E">
        <w:rPr>
          <w:rFonts w:cs="Calibri"/>
          <w:sz w:val="24"/>
          <w:szCs w:val="24"/>
          <w:lang w:val="it-IT" w:eastAsia="it-IT"/>
        </w:rPr>
        <w:t>corrispondente</w:t>
      </w:r>
      <w:r w:rsidRPr="001A668D">
        <w:rPr>
          <w:rFonts w:cs="Calibri"/>
          <w:sz w:val="24"/>
          <w:szCs w:val="24"/>
          <w:lang w:val="it-IT" w:eastAsia="it-IT"/>
        </w:rPr>
        <w:t xml:space="preserve"> </w:t>
      </w:r>
      <w:r w:rsidR="00DA1C6E">
        <w:rPr>
          <w:rFonts w:cs="Calibri"/>
          <w:sz w:val="24"/>
          <w:szCs w:val="24"/>
          <w:lang w:val="it-IT" w:eastAsia="it-IT"/>
        </w:rPr>
        <w:t>a</w:t>
      </w:r>
      <w:r w:rsidRPr="001A668D">
        <w:rPr>
          <w:rFonts w:cs="Calibri"/>
          <w:sz w:val="24"/>
          <w:szCs w:val="24"/>
          <w:lang w:val="it-IT" w:eastAsia="it-IT"/>
        </w:rPr>
        <w:t>lla dotazione annua di assegni di tipo A</w:t>
      </w:r>
      <w:r w:rsidR="00DA1C6E">
        <w:rPr>
          <w:rFonts w:cs="Calibri"/>
          <w:sz w:val="24"/>
          <w:szCs w:val="24"/>
          <w:lang w:val="it-IT" w:eastAsia="it-IT"/>
        </w:rPr>
        <w:t>, la eventuale quota di cofinanziamento per gli assegni di tipo A, la quota di cofinanziamento per il primo e il secondo rinnovo degli assegni, un assegno di tipo B e dell’ammontare economico del costo delle 3</w:t>
      </w:r>
      <w:r w:rsidRPr="001A668D">
        <w:rPr>
          <w:rFonts w:cs="Calibri"/>
          <w:sz w:val="24"/>
          <w:szCs w:val="24"/>
          <w:lang w:val="it-IT" w:eastAsia="it-IT"/>
        </w:rPr>
        <w:t xml:space="preserve"> borse di Dottorato</w:t>
      </w:r>
      <w:r w:rsidR="00DA1C6E">
        <w:rPr>
          <w:rFonts w:cs="Calibri"/>
          <w:sz w:val="24"/>
          <w:szCs w:val="24"/>
          <w:lang w:val="it-IT" w:eastAsia="it-IT"/>
        </w:rPr>
        <w:t xml:space="preserve"> di Ateneo e della borsa finanziata dall’INFN</w:t>
      </w:r>
      <w:r w:rsidRPr="001A668D">
        <w:rPr>
          <w:rFonts w:cs="Calibri"/>
          <w:sz w:val="24"/>
          <w:szCs w:val="24"/>
          <w:lang w:val="it-IT" w:eastAsia="it-IT"/>
        </w:rPr>
        <w:t>.</w:t>
      </w:r>
    </w:p>
    <w:p w14:paraId="0C5EE104" w14:textId="0AB48EEE" w:rsidR="00681F8B" w:rsidRPr="001A668D" w:rsidRDefault="00681F8B" w:rsidP="00EB79B9">
      <w:pPr>
        <w:jc w:val="both"/>
        <w:rPr>
          <w:rFonts w:cs="Calibri"/>
          <w:sz w:val="24"/>
          <w:szCs w:val="24"/>
          <w:lang w:val="it-IT" w:eastAsia="it-IT"/>
        </w:rPr>
      </w:pPr>
      <w:r w:rsidRPr="001A668D">
        <w:rPr>
          <w:rFonts w:cs="Calibri"/>
          <w:sz w:val="24"/>
          <w:szCs w:val="24"/>
          <w:lang w:val="it-IT" w:eastAsia="it-IT"/>
        </w:rPr>
        <w:t xml:space="preserve">La distribuzione avviene considerando l’importo economico totale corrispondente alla dotazione annua e distribuendolo </w:t>
      </w:r>
      <w:r w:rsidR="00FA2CDD" w:rsidRPr="001A668D">
        <w:rPr>
          <w:rFonts w:cs="Calibri"/>
          <w:sz w:val="24"/>
          <w:szCs w:val="24"/>
          <w:lang w:val="it-IT" w:eastAsia="it-IT"/>
        </w:rPr>
        <w:t>ai docenti con dei coefficienti che vengono determinati con un meccanismo premiale.</w:t>
      </w:r>
    </w:p>
    <w:p w14:paraId="58373707" w14:textId="17A12184" w:rsidR="00C96001" w:rsidRPr="001A668D" w:rsidRDefault="00C96001" w:rsidP="00C96001">
      <w:pPr>
        <w:jc w:val="both"/>
        <w:rPr>
          <w:rFonts w:cs="Calibri"/>
          <w:sz w:val="24"/>
          <w:szCs w:val="24"/>
          <w:lang w:val="it-IT" w:eastAsia="it-IT"/>
        </w:rPr>
      </w:pPr>
      <w:r w:rsidRPr="001A668D">
        <w:rPr>
          <w:rFonts w:cs="Calibri"/>
          <w:b/>
          <w:bCs/>
          <w:sz w:val="24"/>
          <w:szCs w:val="24"/>
          <w:lang w:val="it-IT" w:eastAsia="it-IT"/>
        </w:rPr>
        <w:t xml:space="preserve">La quota di ogni singolo docente </w:t>
      </w:r>
      <w:r w:rsidRPr="001A668D">
        <w:rPr>
          <w:rFonts w:cs="Calibri"/>
          <w:sz w:val="24"/>
          <w:szCs w:val="24"/>
          <w:lang w:val="it-IT" w:eastAsia="it-IT"/>
        </w:rPr>
        <w:t xml:space="preserve">si ottiene dall’importo economico totale </w:t>
      </w:r>
      <w:r w:rsidR="00B70C96">
        <w:rPr>
          <w:rFonts w:cs="Calibri"/>
          <w:sz w:val="24"/>
          <w:szCs w:val="24"/>
          <w:lang w:val="it-IT" w:eastAsia="it-IT"/>
        </w:rPr>
        <w:t>degli</w:t>
      </w:r>
      <w:r w:rsidRPr="001A668D">
        <w:rPr>
          <w:rFonts w:cs="Calibri"/>
          <w:sz w:val="24"/>
          <w:szCs w:val="24"/>
          <w:lang w:val="it-IT" w:eastAsia="it-IT"/>
        </w:rPr>
        <w:t xml:space="preserve"> assegni e borse di dottorato, diviso il numero di docenti e moltiplicato per il proprio coefficiente premiale</w:t>
      </w:r>
      <w:r w:rsidR="00DA1C6E">
        <w:rPr>
          <w:rFonts w:cs="Calibri"/>
          <w:sz w:val="24"/>
          <w:szCs w:val="24"/>
          <w:lang w:val="it-IT" w:eastAsia="it-IT"/>
        </w:rPr>
        <w:t>.</w:t>
      </w:r>
      <w:r w:rsidRPr="001A668D">
        <w:rPr>
          <w:rFonts w:cs="Calibri"/>
          <w:sz w:val="24"/>
          <w:szCs w:val="24"/>
          <w:lang w:val="it-IT" w:eastAsia="it-IT"/>
        </w:rPr>
        <w:t xml:space="preserve"> </w:t>
      </w:r>
    </w:p>
    <w:p w14:paraId="24536917" w14:textId="309CB54B" w:rsidR="00FA2CDD" w:rsidRPr="001A668D" w:rsidRDefault="00FA2CDD" w:rsidP="00EB79B9">
      <w:pPr>
        <w:jc w:val="both"/>
        <w:rPr>
          <w:rFonts w:cs="Calibri"/>
          <w:b/>
          <w:bCs/>
          <w:sz w:val="24"/>
          <w:szCs w:val="24"/>
          <w:lang w:val="it-IT" w:eastAsia="it-IT"/>
        </w:rPr>
      </w:pPr>
      <w:r w:rsidRPr="001A668D">
        <w:rPr>
          <w:rFonts w:cs="Calibri"/>
          <w:b/>
          <w:bCs/>
          <w:sz w:val="24"/>
          <w:szCs w:val="24"/>
          <w:lang w:val="it-IT" w:eastAsia="it-IT"/>
        </w:rPr>
        <w:t>Determinazione dei coefficienti premiali.</w:t>
      </w:r>
    </w:p>
    <w:p w14:paraId="631E5BB8" w14:textId="74E9F233" w:rsidR="00FA2CDD" w:rsidRPr="001A668D" w:rsidRDefault="00FA2CDD" w:rsidP="00EB79B9">
      <w:pPr>
        <w:jc w:val="both"/>
        <w:rPr>
          <w:rFonts w:cs="Calibri"/>
          <w:sz w:val="24"/>
          <w:szCs w:val="24"/>
          <w:lang w:val="it-IT" w:eastAsia="it-IT"/>
        </w:rPr>
      </w:pPr>
      <w:r w:rsidRPr="001A668D">
        <w:rPr>
          <w:rFonts w:cs="Calibri"/>
          <w:sz w:val="24"/>
          <w:szCs w:val="24"/>
          <w:lang w:val="it-IT" w:eastAsia="it-IT"/>
        </w:rPr>
        <w:t>Per ogni docente si calcola il rapporto tra i suoi indicatori ASN e quello della fascia immediatamente superiore (per i docenti di prima fascia si considerano gli indicatori dei commissari). La somma di tali rapporti determina il punteggio del docente</w:t>
      </w:r>
      <w:r w:rsidR="005E6B10" w:rsidRPr="001A668D">
        <w:rPr>
          <w:rFonts w:cs="Calibri"/>
          <w:sz w:val="24"/>
          <w:szCs w:val="24"/>
          <w:lang w:val="it-IT" w:eastAsia="it-IT"/>
        </w:rPr>
        <w:t>, che viene inserito in un elenco crescente</w:t>
      </w:r>
      <w:r w:rsidRPr="001A668D">
        <w:rPr>
          <w:rFonts w:cs="Calibri"/>
          <w:sz w:val="24"/>
          <w:szCs w:val="24"/>
          <w:lang w:val="it-IT" w:eastAsia="it-IT"/>
        </w:rPr>
        <w:t>.</w:t>
      </w:r>
      <w:r w:rsidR="005E6B10" w:rsidRPr="001A668D">
        <w:rPr>
          <w:rFonts w:cs="Calibri"/>
          <w:sz w:val="24"/>
          <w:szCs w:val="24"/>
          <w:lang w:val="it-IT" w:eastAsia="it-IT"/>
        </w:rPr>
        <w:t xml:space="preserve"> </w:t>
      </w:r>
      <w:r w:rsidRPr="001A668D">
        <w:rPr>
          <w:rFonts w:cs="Calibri"/>
          <w:sz w:val="24"/>
          <w:szCs w:val="24"/>
          <w:lang w:val="it-IT" w:eastAsia="it-IT"/>
        </w:rPr>
        <w:t xml:space="preserve">Viene quindi attribuito un coefficiente premiale secondo la </w:t>
      </w:r>
      <w:r w:rsidR="005E6B10" w:rsidRPr="001A668D">
        <w:rPr>
          <w:rFonts w:cs="Calibri"/>
          <w:sz w:val="24"/>
          <w:szCs w:val="24"/>
          <w:lang w:val="it-IT" w:eastAsia="it-IT"/>
        </w:rPr>
        <w:t>tabella</w:t>
      </w:r>
      <w:r w:rsidRPr="001A668D">
        <w:rPr>
          <w:rFonts w:cs="Calibri"/>
          <w:sz w:val="24"/>
          <w:szCs w:val="24"/>
          <w:lang w:val="it-IT" w:eastAsia="it-IT"/>
        </w:rPr>
        <w:t xml:space="preserve"> seguente:</w:t>
      </w:r>
    </w:p>
    <w:tbl>
      <w:tblPr>
        <w:tblStyle w:val="Grigliatabella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55"/>
        <w:gridCol w:w="1417"/>
        <w:gridCol w:w="1418"/>
        <w:gridCol w:w="1417"/>
        <w:gridCol w:w="1418"/>
        <w:gridCol w:w="1842"/>
      </w:tblGrid>
      <w:tr w:rsidR="005E6B10" w:rsidRPr="001A668D" w14:paraId="0B3AFB84" w14:textId="77777777" w:rsidTr="00DA1C6E">
        <w:tc>
          <w:tcPr>
            <w:tcW w:w="2155" w:type="dxa"/>
          </w:tcPr>
          <w:p w14:paraId="7DF8AB5A" w14:textId="68E33A3D" w:rsidR="00FA2CDD" w:rsidRPr="001A668D" w:rsidRDefault="00FA2CDD" w:rsidP="00DA1C6E">
            <w:pPr>
              <w:jc w:val="center"/>
              <w:rPr>
                <w:rFonts w:cs="Calibri"/>
                <w:sz w:val="24"/>
                <w:szCs w:val="24"/>
                <w:lang w:val="it-IT" w:eastAsia="it-IT"/>
              </w:rPr>
            </w:pPr>
            <w:r w:rsidRPr="001A668D">
              <w:rPr>
                <w:rFonts w:cs="Calibri"/>
                <w:sz w:val="24"/>
                <w:szCs w:val="24"/>
                <w:lang w:val="it-IT" w:eastAsia="it-IT"/>
              </w:rPr>
              <w:t xml:space="preserve">posizione in </w:t>
            </w:r>
            <w:r w:rsidR="005E6B10" w:rsidRPr="001A668D">
              <w:rPr>
                <w:rFonts w:cs="Calibri"/>
                <w:sz w:val="24"/>
                <w:szCs w:val="24"/>
                <w:lang w:val="it-IT" w:eastAsia="it-IT"/>
              </w:rPr>
              <w:t>elenco</w:t>
            </w:r>
          </w:p>
        </w:tc>
        <w:tc>
          <w:tcPr>
            <w:tcW w:w="1417" w:type="dxa"/>
          </w:tcPr>
          <w:p w14:paraId="6174AB65" w14:textId="5C6248F1" w:rsidR="00FA2CDD" w:rsidRPr="001A668D" w:rsidRDefault="005E6B10" w:rsidP="00DA1C6E">
            <w:pPr>
              <w:jc w:val="center"/>
              <w:rPr>
                <w:rFonts w:cs="Calibri"/>
                <w:sz w:val="24"/>
                <w:szCs w:val="24"/>
                <w:lang w:val="it-IT" w:eastAsia="it-IT"/>
              </w:rPr>
            </w:pPr>
            <w:r w:rsidRPr="001A668D">
              <w:rPr>
                <w:rFonts w:cs="Calibri"/>
                <w:sz w:val="24"/>
                <w:szCs w:val="24"/>
                <w:lang w:val="it-IT" w:eastAsia="it-IT"/>
              </w:rPr>
              <w:t>d</w:t>
            </w:r>
            <w:r w:rsidR="00FA2CDD" w:rsidRPr="001A668D">
              <w:rPr>
                <w:rFonts w:cs="Calibri"/>
                <w:sz w:val="24"/>
                <w:szCs w:val="24"/>
                <w:lang w:val="it-IT" w:eastAsia="it-IT"/>
              </w:rPr>
              <w:t>a 0</w:t>
            </w:r>
            <w:r w:rsidRPr="001A668D">
              <w:rPr>
                <w:rFonts w:cs="Calibri"/>
                <w:sz w:val="24"/>
                <w:szCs w:val="24"/>
                <w:lang w:val="it-IT" w:eastAsia="it-IT"/>
              </w:rPr>
              <w:t>%</w:t>
            </w:r>
            <w:r w:rsidR="00FA2CDD" w:rsidRPr="001A668D">
              <w:rPr>
                <w:rFonts w:cs="Calibri"/>
                <w:sz w:val="24"/>
                <w:szCs w:val="24"/>
                <w:lang w:val="it-IT" w:eastAsia="it-IT"/>
              </w:rPr>
              <w:t xml:space="preserve"> a 15%</w:t>
            </w:r>
          </w:p>
        </w:tc>
        <w:tc>
          <w:tcPr>
            <w:tcW w:w="1418" w:type="dxa"/>
          </w:tcPr>
          <w:p w14:paraId="53E02977" w14:textId="7BDBDC05" w:rsidR="00FA2CDD" w:rsidRPr="001A668D" w:rsidRDefault="005E6B10" w:rsidP="00DA1C6E">
            <w:pPr>
              <w:jc w:val="center"/>
              <w:rPr>
                <w:rFonts w:cs="Calibri"/>
                <w:sz w:val="24"/>
                <w:szCs w:val="24"/>
                <w:lang w:val="it-IT" w:eastAsia="it-IT"/>
              </w:rPr>
            </w:pPr>
            <w:r w:rsidRPr="001A668D">
              <w:rPr>
                <w:rFonts w:cs="Calibri"/>
                <w:sz w:val="24"/>
                <w:szCs w:val="24"/>
                <w:lang w:val="it-IT" w:eastAsia="it-IT"/>
              </w:rPr>
              <w:t>da 15% a 35%</w:t>
            </w:r>
          </w:p>
        </w:tc>
        <w:tc>
          <w:tcPr>
            <w:tcW w:w="1417" w:type="dxa"/>
          </w:tcPr>
          <w:p w14:paraId="59A3AA06" w14:textId="169C55CF" w:rsidR="00FA2CDD" w:rsidRPr="001A668D" w:rsidRDefault="005E6B10" w:rsidP="00DA1C6E">
            <w:pPr>
              <w:jc w:val="center"/>
              <w:rPr>
                <w:rFonts w:cs="Calibri"/>
                <w:sz w:val="24"/>
                <w:szCs w:val="24"/>
                <w:lang w:val="it-IT" w:eastAsia="it-IT"/>
              </w:rPr>
            </w:pPr>
            <w:r w:rsidRPr="001A668D">
              <w:rPr>
                <w:rFonts w:cs="Calibri"/>
                <w:sz w:val="24"/>
                <w:szCs w:val="24"/>
                <w:lang w:val="it-IT" w:eastAsia="it-IT"/>
              </w:rPr>
              <w:t>da 35% a 65%</w:t>
            </w:r>
          </w:p>
        </w:tc>
        <w:tc>
          <w:tcPr>
            <w:tcW w:w="1418" w:type="dxa"/>
          </w:tcPr>
          <w:p w14:paraId="76BE8251" w14:textId="11A107F1" w:rsidR="00FA2CDD" w:rsidRPr="001A668D" w:rsidRDefault="005E6B10" w:rsidP="00DA1C6E">
            <w:pPr>
              <w:jc w:val="center"/>
              <w:rPr>
                <w:rFonts w:cs="Calibri"/>
                <w:sz w:val="24"/>
                <w:szCs w:val="24"/>
                <w:lang w:val="it-IT" w:eastAsia="it-IT"/>
              </w:rPr>
            </w:pPr>
            <w:r w:rsidRPr="001A668D">
              <w:rPr>
                <w:rFonts w:cs="Calibri"/>
                <w:sz w:val="24"/>
                <w:szCs w:val="24"/>
                <w:lang w:val="it-IT" w:eastAsia="it-IT"/>
              </w:rPr>
              <w:t>da 65% a 85%</w:t>
            </w:r>
          </w:p>
        </w:tc>
        <w:tc>
          <w:tcPr>
            <w:tcW w:w="1842" w:type="dxa"/>
          </w:tcPr>
          <w:p w14:paraId="059A4AFA" w14:textId="2C2FF850" w:rsidR="00FA2CDD" w:rsidRPr="001A668D" w:rsidRDefault="005E6B10" w:rsidP="00DA1C6E">
            <w:pPr>
              <w:jc w:val="center"/>
              <w:rPr>
                <w:rFonts w:cs="Calibri"/>
                <w:sz w:val="24"/>
                <w:szCs w:val="24"/>
                <w:lang w:val="it-IT" w:eastAsia="it-IT"/>
              </w:rPr>
            </w:pPr>
            <w:r w:rsidRPr="001A668D">
              <w:rPr>
                <w:rFonts w:cs="Calibri"/>
                <w:sz w:val="24"/>
                <w:szCs w:val="24"/>
                <w:lang w:val="it-IT" w:eastAsia="it-IT"/>
              </w:rPr>
              <w:t>da 85% a 100%</w:t>
            </w:r>
          </w:p>
        </w:tc>
      </w:tr>
      <w:tr w:rsidR="005E6B10" w:rsidRPr="001A668D" w14:paraId="03352947" w14:textId="77777777" w:rsidTr="00DA1C6E">
        <w:tc>
          <w:tcPr>
            <w:tcW w:w="2155" w:type="dxa"/>
          </w:tcPr>
          <w:p w14:paraId="7491456F" w14:textId="7B636843" w:rsidR="00FA2CDD" w:rsidRPr="001A668D" w:rsidRDefault="001A668D" w:rsidP="00DA1C6E">
            <w:pPr>
              <w:jc w:val="center"/>
              <w:rPr>
                <w:rFonts w:cs="Calibri"/>
                <w:sz w:val="24"/>
                <w:szCs w:val="24"/>
                <w:lang w:val="it-IT" w:eastAsia="it-IT"/>
              </w:rPr>
            </w:pPr>
            <w:r>
              <w:rPr>
                <w:rFonts w:cs="Calibri"/>
                <w:sz w:val="24"/>
                <w:szCs w:val="24"/>
                <w:lang w:val="it-IT" w:eastAsia="it-IT"/>
              </w:rPr>
              <w:t>c</w:t>
            </w:r>
            <w:r w:rsidR="00FA2CDD" w:rsidRPr="001A668D">
              <w:rPr>
                <w:rFonts w:cs="Calibri"/>
                <w:sz w:val="24"/>
                <w:szCs w:val="24"/>
                <w:lang w:val="it-IT" w:eastAsia="it-IT"/>
              </w:rPr>
              <w:t>oefficiente</w:t>
            </w:r>
            <w:r>
              <w:rPr>
                <w:rFonts w:cs="Calibri"/>
                <w:sz w:val="24"/>
                <w:szCs w:val="24"/>
                <w:lang w:val="it-IT" w:eastAsia="it-IT"/>
              </w:rPr>
              <w:t xml:space="preserve"> premiale</w:t>
            </w:r>
          </w:p>
        </w:tc>
        <w:tc>
          <w:tcPr>
            <w:tcW w:w="1417" w:type="dxa"/>
          </w:tcPr>
          <w:p w14:paraId="70CFAE3F" w14:textId="47D29454" w:rsidR="00FA2CDD" w:rsidRPr="001A668D" w:rsidRDefault="00FA2CDD" w:rsidP="00DA1C6E">
            <w:pPr>
              <w:jc w:val="center"/>
              <w:rPr>
                <w:rFonts w:cs="Calibri"/>
                <w:sz w:val="24"/>
                <w:szCs w:val="24"/>
                <w:lang w:val="it-IT" w:eastAsia="it-IT"/>
              </w:rPr>
            </w:pPr>
            <w:r w:rsidRPr="001A668D">
              <w:rPr>
                <w:rFonts w:cs="Calibri"/>
                <w:sz w:val="24"/>
                <w:szCs w:val="24"/>
                <w:lang w:val="it-IT" w:eastAsia="it-IT"/>
              </w:rPr>
              <w:t>0.8</w:t>
            </w:r>
          </w:p>
        </w:tc>
        <w:tc>
          <w:tcPr>
            <w:tcW w:w="1418" w:type="dxa"/>
          </w:tcPr>
          <w:p w14:paraId="6A5CA909" w14:textId="6A469035" w:rsidR="00FA2CDD" w:rsidRPr="001A668D" w:rsidRDefault="005E6B10" w:rsidP="00DA1C6E">
            <w:pPr>
              <w:jc w:val="center"/>
              <w:rPr>
                <w:rFonts w:cs="Calibri"/>
                <w:sz w:val="24"/>
                <w:szCs w:val="24"/>
                <w:lang w:val="it-IT" w:eastAsia="it-IT"/>
              </w:rPr>
            </w:pPr>
            <w:r w:rsidRPr="001A668D">
              <w:rPr>
                <w:rFonts w:cs="Calibri"/>
                <w:sz w:val="24"/>
                <w:szCs w:val="24"/>
                <w:lang w:val="it-IT" w:eastAsia="it-IT"/>
              </w:rPr>
              <w:t>0.9</w:t>
            </w:r>
          </w:p>
        </w:tc>
        <w:tc>
          <w:tcPr>
            <w:tcW w:w="1417" w:type="dxa"/>
          </w:tcPr>
          <w:p w14:paraId="7FCDABBC" w14:textId="30172CED" w:rsidR="00FA2CDD" w:rsidRPr="001A668D" w:rsidRDefault="005E6B10" w:rsidP="00DA1C6E">
            <w:pPr>
              <w:jc w:val="center"/>
              <w:rPr>
                <w:rFonts w:cs="Calibri"/>
                <w:sz w:val="24"/>
                <w:szCs w:val="24"/>
                <w:lang w:val="it-IT" w:eastAsia="it-IT"/>
              </w:rPr>
            </w:pPr>
            <w:r w:rsidRPr="001A668D">
              <w:rPr>
                <w:rFonts w:cs="Calibri"/>
                <w:sz w:val="24"/>
                <w:szCs w:val="24"/>
                <w:lang w:val="it-IT" w:eastAsia="it-IT"/>
              </w:rPr>
              <w:t>1</w:t>
            </w:r>
          </w:p>
        </w:tc>
        <w:tc>
          <w:tcPr>
            <w:tcW w:w="1418" w:type="dxa"/>
          </w:tcPr>
          <w:p w14:paraId="104259F7" w14:textId="59861353" w:rsidR="00FA2CDD" w:rsidRPr="001A668D" w:rsidRDefault="005E6B10" w:rsidP="00DA1C6E">
            <w:pPr>
              <w:jc w:val="center"/>
              <w:rPr>
                <w:rFonts w:cs="Calibri"/>
                <w:sz w:val="24"/>
                <w:szCs w:val="24"/>
                <w:lang w:val="it-IT" w:eastAsia="it-IT"/>
              </w:rPr>
            </w:pPr>
            <w:r w:rsidRPr="001A668D">
              <w:rPr>
                <w:rFonts w:cs="Calibri"/>
                <w:sz w:val="24"/>
                <w:szCs w:val="24"/>
                <w:lang w:val="it-IT" w:eastAsia="it-IT"/>
              </w:rPr>
              <w:t>1.1</w:t>
            </w:r>
          </w:p>
        </w:tc>
        <w:tc>
          <w:tcPr>
            <w:tcW w:w="1842" w:type="dxa"/>
          </w:tcPr>
          <w:p w14:paraId="5C820636" w14:textId="44DAD25A" w:rsidR="00FA2CDD" w:rsidRPr="001A668D" w:rsidRDefault="005E6B10" w:rsidP="00DA1C6E">
            <w:pPr>
              <w:jc w:val="center"/>
              <w:rPr>
                <w:rFonts w:cs="Calibri"/>
                <w:sz w:val="24"/>
                <w:szCs w:val="24"/>
                <w:lang w:val="it-IT" w:eastAsia="it-IT"/>
              </w:rPr>
            </w:pPr>
            <w:r w:rsidRPr="001A668D">
              <w:rPr>
                <w:rFonts w:cs="Calibri"/>
                <w:sz w:val="24"/>
                <w:szCs w:val="24"/>
                <w:lang w:val="it-IT" w:eastAsia="it-IT"/>
              </w:rPr>
              <w:t>1.2</w:t>
            </w:r>
          </w:p>
        </w:tc>
      </w:tr>
    </w:tbl>
    <w:p w14:paraId="1B43FF96" w14:textId="77777777" w:rsidR="00FA2CDD" w:rsidRPr="001A668D" w:rsidRDefault="00FA2CDD" w:rsidP="00EB79B9">
      <w:pPr>
        <w:jc w:val="both"/>
        <w:rPr>
          <w:rFonts w:cs="Calibri"/>
          <w:sz w:val="24"/>
          <w:szCs w:val="24"/>
          <w:lang w:val="it-IT" w:eastAsia="it-IT"/>
        </w:rPr>
      </w:pPr>
    </w:p>
    <w:p w14:paraId="48A791DC" w14:textId="27D89C91" w:rsidR="00EB79B9" w:rsidRPr="001A668D" w:rsidRDefault="00EB79B9" w:rsidP="00EB79B9">
      <w:pPr>
        <w:jc w:val="both"/>
        <w:rPr>
          <w:rFonts w:cs="Calibri"/>
          <w:b/>
          <w:bCs/>
          <w:sz w:val="24"/>
          <w:szCs w:val="24"/>
          <w:lang w:val="it-IT" w:eastAsia="it-IT"/>
        </w:rPr>
      </w:pPr>
      <w:r w:rsidRPr="001A668D">
        <w:rPr>
          <w:rFonts w:cs="Calibri"/>
          <w:b/>
          <w:bCs/>
          <w:sz w:val="24"/>
          <w:szCs w:val="24"/>
          <w:lang w:val="it-IT" w:eastAsia="it-IT"/>
        </w:rPr>
        <w:t>Utilizzo delle quote per accedere alle risorse</w:t>
      </w:r>
    </w:p>
    <w:p w14:paraId="68886CBA" w14:textId="1BCD6DFA" w:rsidR="00EB79B9" w:rsidRPr="001A668D" w:rsidRDefault="00EB79B9" w:rsidP="00EB79B9">
      <w:pPr>
        <w:jc w:val="both"/>
        <w:rPr>
          <w:rFonts w:cs="Calibri"/>
          <w:sz w:val="24"/>
          <w:szCs w:val="24"/>
          <w:lang w:val="it-IT" w:eastAsia="it-IT"/>
        </w:rPr>
      </w:pPr>
      <w:r w:rsidRPr="001A668D">
        <w:rPr>
          <w:rFonts w:cs="Calibri"/>
          <w:sz w:val="24"/>
          <w:szCs w:val="24"/>
          <w:lang w:val="it-IT" w:eastAsia="it-IT"/>
        </w:rPr>
        <w:t xml:space="preserve">Ogni docente, o gruppi di docenti, che complessivamente hanno accumulato una quota sufficiente a coprirne il costo, può chiedere di accedere ad una risorsa relativa alla dotazione di assegni di tipo A, B e alle borse di dottorato di ricerca. In caso di richieste che superano la disponibilità, si utilizza un criterio di precedenza </w:t>
      </w:r>
      <w:r w:rsidR="00C96001" w:rsidRPr="001A668D">
        <w:rPr>
          <w:rFonts w:cs="Calibri"/>
          <w:sz w:val="24"/>
          <w:szCs w:val="24"/>
          <w:lang w:val="it-IT" w:eastAsia="it-IT"/>
        </w:rPr>
        <w:t>per</w:t>
      </w:r>
      <w:r w:rsidRPr="001A668D">
        <w:rPr>
          <w:rFonts w:cs="Calibri"/>
          <w:sz w:val="24"/>
          <w:szCs w:val="24"/>
          <w:lang w:val="it-IT" w:eastAsia="it-IT"/>
        </w:rPr>
        <w:t xml:space="preserve"> chi ha usufruito meno recentemente delle tipo di risorsa richiesta.</w:t>
      </w:r>
    </w:p>
    <w:p w14:paraId="3BFB1F66" w14:textId="52FD3301" w:rsidR="00EB79B9" w:rsidRPr="001A668D" w:rsidRDefault="001A668D" w:rsidP="00EB79B9">
      <w:pPr>
        <w:jc w:val="both"/>
        <w:rPr>
          <w:rFonts w:cs="Calibri"/>
          <w:sz w:val="24"/>
          <w:szCs w:val="24"/>
          <w:lang w:val="it-IT" w:eastAsia="it-IT"/>
        </w:rPr>
      </w:pPr>
      <w:r w:rsidRPr="001A668D">
        <w:rPr>
          <w:rFonts w:cs="Calibri"/>
          <w:sz w:val="24"/>
          <w:szCs w:val="24"/>
          <w:lang w:val="it-IT" w:eastAsia="it-IT"/>
        </w:rPr>
        <w:t>È</w:t>
      </w:r>
      <w:r w:rsidR="00EB79B9" w:rsidRPr="001A668D">
        <w:rPr>
          <w:rFonts w:cs="Calibri"/>
          <w:sz w:val="24"/>
          <w:szCs w:val="24"/>
          <w:lang w:val="it-IT" w:eastAsia="it-IT"/>
        </w:rPr>
        <w:t xml:space="preserve"> consentito a un docente, o gruppi di docenti, ad accedere ad una risorsa, se disponibile, anche in assenza di copertura completa del costo complessivo, con l’impegno di utilizzare le </w:t>
      </w:r>
      <w:r w:rsidR="00C96001" w:rsidRPr="001A668D">
        <w:rPr>
          <w:rFonts w:cs="Calibri"/>
          <w:sz w:val="24"/>
          <w:szCs w:val="24"/>
          <w:lang w:val="it-IT" w:eastAsia="it-IT"/>
        </w:rPr>
        <w:t>quote</w:t>
      </w:r>
      <w:r w:rsidR="00EB79B9" w:rsidRPr="001A668D">
        <w:rPr>
          <w:rFonts w:cs="Calibri"/>
          <w:sz w:val="24"/>
          <w:szCs w:val="24"/>
          <w:lang w:val="it-IT" w:eastAsia="it-IT"/>
        </w:rPr>
        <w:t xml:space="preserve"> future per </w:t>
      </w:r>
      <w:r w:rsidR="00C96001" w:rsidRPr="001A668D">
        <w:rPr>
          <w:rFonts w:cs="Calibri"/>
          <w:sz w:val="24"/>
          <w:szCs w:val="24"/>
          <w:lang w:val="it-IT" w:eastAsia="it-IT"/>
        </w:rPr>
        <w:t>colmare</w:t>
      </w:r>
      <w:r w:rsidR="00EB79B9" w:rsidRPr="001A668D">
        <w:rPr>
          <w:rFonts w:cs="Calibri"/>
          <w:sz w:val="24"/>
          <w:szCs w:val="24"/>
          <w:lang w:val="it-IT" w:eastAsia="it-IT"/>
        </w:rPr>
        <w:t xml:space="preserve"> il disavanzo, prima di poter accedere ad </w:t>
      </w:r>
      <w:r w:rsidR="00C96001" w:rsidRPr="001A668D">
        <w:rPr>
          <w:rFonts w:cs="Calibri"/>
          <w:sz w:val="24"/>
          <w:szCs w:val="24"/>
          <w:lang w:val="it-IT" w:eastAsia="it-IT"/>
        </w:rPr>
        <w:t>ulteriori</w:t>
      </w:r>
      <w:r w:rsidR="00EB79B9" w:rsidRPr="001A668D">
        <w:rPr>
          <w:rFonts w:cs="Calibri"/>
          <w:sz w:val="24"/>
          <w:szCs w:val="24"/>
          <w:lang w:val="it-IT" w:eastAsia="it-IT"/>
        </w:rPr>
        <w:t xml:space="preserve"> </w:t>
      </w:r>
      <w:r w:rsidR="00C96001" w:rsidRPr="001A668D">
        <w:rPr>
          <w:rFonts w:cs="Calibri"/>
          <w:sz w:val="24"/>
          <w:szCs w:val="24"/>
          <w:lang w:val="it-IT" w:eastAsia="it-IT"/>
        </w:rPr>
        <w:t>risorse.</w:t>
      </w:r>
    </w:p>
    <w:p w14:paraId="5001DBBC" w14:textId="58C50173" w:rsidR="00681F8B" w:rsidRPr="001A668D" w:rsidRDefault="00C96001" w:rsidP="001A668D">
      <w:pPr>
        <w:jc w:val="both"/>
        <w:rPr>
          <w:rFonts w:cs="Calibri"/>
          <w:sz w:val="24"/>
          <w:szCs w:val="24"/>
          <w:lang w:val="it-IT" w:eastAsia="it-IT"/>
        </w:rPr>
      </w:pPr>
      <w:r w:rsidRPr="001A668D">
        <w:rPr>
          <w:rFonts w:cs="Calibri"/>
          <w:sz w:val="24"/>
          <w:szCs w:val="24"/>
          <w:lang w:val="it-IT" w:eastAsia="it-IT"/>
        </w:rPr>
        <w:t xml:space="preserve">La verifica dell’utilizzo delle risorse a la determinazione delle nuove quote si </w:t>
      </w:r>
      <w:r w:rsidR="001A668D" w:rsidRPr="001A668D">
        <w:rPr>
          <w:rFonts w:cs="Calibri"/>
          <w:sz w:val="24"/>
          <w:szCs w:val="24"/>
          <w:lang w:val="it-IT" w:eastAsia="it-IT"/>
        </w:rPr>
        <w:t>effettua</w:t>
      </w:r>
      <w:r w:rsidRPr="001A668D">
        <w:rPr>
          <w:rFonts w:cs="Calibri"/>
          <w:sz w:val="24"/>
          <w:szCs w:val="24"/>
          <w:lang w:val="it-IT" w:eastAsia="it-IT"/>
        </w:rPr>
        <w:t xml:space="preserve"> nel mese di dicembre</w:t>
      </w:r>
      <w:r w:rsidR="001A668D" w:rsidRPr="001A668D">
        <w:rPr>
          <w:rFonts w:cs="Calibri"/>
          <w:sz w:val="24"/>
          <w:szCs w:val="24"/>
          <w:lang w:val="it-IT" w:eastAsia="it-IT"/>
        </w:rPr>
        <w:t xml:space="preserve"> di ogni anno</w:t>
      </w:r>
      <w:r w:rsidRPr="001A668D">
        <w:rPr>
          <w:rFonts w:cs="Calibri"/>
          <w:sz w:val="24"/>
          <w:szCs w:val="24"/>
          <w:lang w:val="it-IT" w:eastAsia="it-IT"/>
        </w:rPr>
        <w:t>.</w:t>
      </w:r>
    </w:p>
    <w:sectPr w:rsidR="00681F8B" w:rsidRPr="001A66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F8B"/>
    <w:rsid w:val="00046C41"/>
    <w:rsid w:val="00096268"/>
    <w:rsid w:val="001A668D"/>
    <w:rsid w:val="002606FD"/>
    <w:rsid w:val="00301ACB"/>
    <w:rsid w:val="005E6B10"/>
    <w:rsid w:val="00681F8B"/>
    <w:rsid w:val="00745E1A"/>
    <w:rsid w:val="007E70F0"/>
    <w:rsid w:val="00B146DC"/>
    <w:rsid w:val="00B70C96"/>
    <w:rsid w:val="00C96001"/>
    <w:rsid w:val="00DA1C6E"/>
    <w:rsid w:val="00EB79B9"/>
    <w:rsid w:val="00EF60AD"/>
    <w:rsid w:val="00FA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2009EFA"/>
  <w15:docId w15:val="{4A0AEDBE-6820-974F-8BAC-D63BB930C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E70F0"/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A2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PAGANO (spagano@unisa.it)</dc:creator>
  <cp:keywords/>
  <dc:description/>
  <cp:lastModifiedBy>Sergio PAGANO (spagano@unisa.it)</cp:lastModifiedBy>
  <cp:revision>4</cp:revision>
  <dcterms:created xsi:type="dcterms:W3CDTF">2020-09-10T11:21:00Z</dcterms:created>
  <dcterms:modified xsi:type="dcterms:W3CDTF">2020-09-10T11:27:00Z</dcterms:modified>
</cp:coreProperties>
</file>